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216"/>
        </w:tabs>
        <w:spacing w:after="0"/>
        <w:jc w:val="left"/>
        <w:rPr>
          <w:rFonts w:hint="default" w:ascii="Times New Roman" w:hAnsi="Times New Roman" w:cs="Times New Roman"/>
          <w:b/>
          <w:kern w:val="2"/>
          <w:lang w:eastAsia="zh-CN"/>
        </w:rPr>
      </w:pPr>
      <w:bookmarkStart w:id="0" w:name="OLE_LINK26"/>
      <w:r>
        <w:rPr>
          <w:rFonts w:hint="default" w:ascii="Times New Roman" w:hAnsi="Times New Roman" w:cs="Times New Roman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18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kern w:val="2"/>
          <w:lang w:eastAsia="zh-CN"/>
        </w:rPr>
        <w:t>3GPP TSG RAN WG1 Meeting #10</w:t>
      </w:r>
      <w:r>
        <w:rPr>
          <w:rFonts w:hint="default" w:ascii="Times New Roman" w:hAnsi="Times New Roman" w:cs="Times New Roman"/>
          <w:b/>
          <w:kern w:val="2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kern w:val="2"/>
          <w:lang w:eastAsia="zh-CN"/>
        </w:rPr>
        <w:t>-e</w:t>
      </w:r>
      <w:r>
        <w:rPr>
          <w:rFonts w:hint="default" w:ascii="Times New Roman" w:hAnsi="Times New Roman" w:cs="Times New Roman"/>
          <w:b/>
          <w:kern w:val="2"/>
          <w:lang w:eastAsia="zh-CN"/>
        </w:rPr>
        <w:tab/>
      </w:r>
      <w:r>
        <w:rPr>
          <w:rFonts w:hint="default" w:ascii="Times New Roman" w:hAnsi="Times New Roman" w:cs="Times New Roman"/>
          <w:b/>
          <w:kern w:val="2"/>
          <w:lang w:eastAsia="zh-CN"/>
        </w:rPr>
        <w:t>R1- 2108114</w:t>
      </w:r>
    </w:p>
    <w:bookmarkEnd w:id="0"/>
    <w:p>
      <w:pPr>
        <w:jc w:val="left"/>
        <w:rPr>
          <w:rFonts w:hint="default" w:ascii="Times New Roman" w:hAnsi="Times New Roman" w:cs="Times New Roman"/>
          <w:b/>
        </w:rPr>
      </w:pPr>
      <w:r>
        <w:rPr>
          <w:rFonts w:hint="default" w:ascii="Times New Roman" w:hAnsi="Times New Roman" w:cs="Times New Roman"/>
          <w:b/>
          <w:kern w:val="2"/>
          <w:lang w:eastAsia="zh-CN"/>
        </w:rPr>
        <w:t xml:space="preserve">E-meeting, </w:t>
      </w:r>
      <w:r>
        <w:rPr>
          <w:rFonts w:hint="default" w:ascii="Times New Roman" w:hAnsi="Times New Roman" w:cs="Times New Roman"/>
          <w:b/>
          <w:kern w:val="2"/>
          <w:lang w:val="en-US" w:eastAsia="zh-CN"/>
        </w:rPr>
        <w:t>August</w:t>
      </w:r>
      <w:r>
        <w:rPr>
          <w:rFonts w:hint="default" w:ascii="Times New Roman" w:hAnsi="Times New Roman" w:cs="Times New Roman"/>
          <w:b/>
          <w:kern w:val="2"/>
          <w:lang w:eastAsia="zh-CN"/>
        </w:rPr>
        <w:t xml:space="preserve"> 1</w:t>
      </w:r>
      <w:r>
        <w:rPr>
          <w:rFonts w:hint="default" w:ascii="Times New Roman" w:hAnsi="Times New Roman" w:cs="Times New Roman"/>
          <w:b/>
          <w:kern w:val="2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kern w:val="2"/>
          <w:lang w:eastAsia="zh-CN"/>
        </w:rPr>
        <w:t xml:space="preserve"> – </w:t>
      </w:r>
      <w:r>
        <w:rPr>
          <w:rFonts w:hint="default" w:ascii="Times New Roman" w:hAnsi="Times New Roman" w:cs="Times New Roman"/>
          <w:b/>
          <w:kern w:val="2"/>
          <w:lang w:val="en-US" w:eastAsia="zh-CN"/>
        </w:rPr>
        <w:t>August</w:t>
      </w:r>
      <w:r>
        <w:rPr>
          <w:rFonts w:hint="default" w:ascii="Times New Roman" w:hAnsi="Times New Roman" w:cs="Times New Roman"/>
          <w:b/>
          <w:kern w:val="2"/>
          <w:lang w:eastAsia="zh-CN"/>
        </w:rPr>
        <w:t xml:space="preserve"> 27, 2021</w:t>
      </w:r>
    </w:p>
    <w:p>
      <w:pPr>
        <w:spacing w:after="60"/>
        <w:ind w:left="1555" w:hanging="1555"/>
        <w:jc w:val="left"/>
        <w:rPr>
          <w:rFonts w:hint="default" w:ascii="Times New Roman" w:hAnsi="Times New Roman" w:cs="Times New Roman"/>
          <w:b/>
          <w:lang w:val="en-US"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>Agenda Item:</w:t>
      </w:r>
      <w:r>
        <w:rPr>
          <w:rFonts w:hint="default" w:ascii="Times New Roman" w:hAnsi="Times New Roman" w:cs="Times New Roman"/>
          <w:b/>
          <w:lang w:eastAsia="zh-CN"/>
        </w:rPr>
        <w:tab/>
      </w:r>
      <w:r>
        <w:rPr>
          <w:rFonts w:hint="eastAsia" w:ascii="Times New Roman" w:hAnsi="Times New Roman" w:cs="Times New Roman"/>
          <w:b/>
          <w:lang w:val="en-US" w:eastAsia="zh-CN"/>
        </w:rPr>
        <w:t>8.6.1</w:t>
      </w:r>
    </w:p>
    <w:p>
      <w:pPr>
        <w:spacing w:after="60"/>
        <w:ind w:left="1555" w:hanging="1555"/>
        <w:jc w:val="left"/>
        <w:rPr>
          <w:rFonts w:hint="default" w:ascii="Times New Roman" w:hAnsi="Times New Roman" w:cs="Times New Roman"/>
          <w:b/>
          <w:kern w:val="2"/>
          <w:lang w:eastAsia="zh-CN"/>
        </w:rPr>
      </w:pPr>
      <w:r>
        <w:rPr>
          <w:rFonts w:hint="default" w:ascii="Times New Roman" w:hAnsi="Times New Roman" w:cs="Times New Roman"/>
          <w:b/>
          <w:kern w:val="2"/>
          <w:lang w:eastAsia="zh-CN"/>
        </w:rPr>
        <w:t>Source:</w:t>
      </w:r>
      <w:r>
        <w:rPr>
          <w:rFonts w:hint="default" w:ascii="Times New Roman" w:hAnsi="Times New Roman" w:cs="Times New Roman"/>
          <w:b/>
          <w:kern w:val="2"/>
          <w:lang w:eastAsia="zh-CN"/>
        </w:rPr>
        <w:tab/>
      </w:r>
      <w:r>
        <w:rPr>
          <w:rFonts w:hint="default" w:ascii="Times New Roman" w:hAnsi="Times New Roman" w:cs="Times New Roman"/>
          <w:b/>
          <w:kern w:val="2"/>
          <w:lang w:eastAsia="zh-CN"/>
        </w:rPr>
        <w:t>Guangdong Communications and Networks Institute</w:t>
      </w:r>
    </w:p>
    <w:p>
      <w:pPr>
        <w:spacing w:after="60"/>
        <w:ind w:left="1555" w:hanging="1555"/>
        <w:jc w:val="left"/>
        <w:rPr>
          <w:rFonts w:hint="default" w:ascii="Times New Roman" w:hAnsi="Times New Roman" w:cs="Times New Roman"/>
          <w:b/>
          <w:lang w:eastAsia="zh-CN"/>
        </w:rPr>
      </w:pPr>
      <w:r>
        <w:rPr>
          <w:rFonts w:hint="default" w:ascii="Times New Roman" w:hAnsi="Times New Roman" w:cs="Times New Roman"/>
          <w:b/>
          <w:lang w:eastAsia="zh-CN"/>
        </w:rPr>
        <w:t>Title:</w:t>
      </w:r>
      <w:r>
        <w:rPr>
          <w:rFonts w:hint="default" w:ascii="Times New Roman" w:hAnsi="Times New Roman" w:cs="Times New Roman"/>
          <w:b/>
          <w:lang w:eastAsia="zh-CN"/>
        </w:rPr>
        <w:tab/>
      </w:r>
      <w:r>
        <w:rPr>
          <w:rFonts w:hint="default" w:ascii="Times New Roman" w:hAnsi="Times New Roman" w:cs="Times New Roman"/>
          <w:b/>
          <w:lang w:eastAsia="zh-CN"/>
        </w:rPr>
        <w:t>Complexity reduction for RedCap UE</w:t>
      </w:r>
    </w:p>
    <w:p>
      <w:pPr>
        <w:spacing w:after="60"/>
        <w:ind w:left="1555" w:hanging="1555"/>
        <w:jc w:val="left"/>
        <w:rPr>
          <w:rFonts w:hint="default" w:ascii="Times New Roman" w:hAnsi="Times New Roman" w:cs="Times New Roman"/>
          <w:b/>
          <w:kern w:val="2"/>
          <w:lang w:eastAsia="zh-CN"/>
        </w:rPr>
      </w:pPr>
      <w:r>
        <w:rPr>
          <w:rFonts w:hint="default" w:ascii="Times New Roman" w:hAnsi="Times New Roman" w:cs="Times New Roman"/>
          <w:b/>
          <w:kern w:val="2"/>
          <w:lang w:eastAsia="zh-CN"/>
        </w:rPr>
        <w:t>Document for:</w:t>
      </w:r>
      <w:r>
        <w:rPr>
          <w:rFonts w:hint="default" w:ascii="Times New Roman" w:hAnsi="Times New Roman" w:cs="Times New Roman"/>
          <w:b/>
          <w:kern w:val="2"/>
          <w:lang w:eastAsia="zh-CN"/>
        </w:rPr>
        <w:tab/>
      </w:r>
      <w:r>
        <w:rPr>
          <w:rFonts w:hint="default" w:ascii="Times New Roman" w:hAnsi="Times New Roman" w:cs="Times New Roman"/>
          <w:b/>
          <w:kern w:val="2"/>
          <w:lang w:eastAsia="zh-CN"/>
        </w:rPr>
        <w:t>Discussion/Decision</w:t>
      </w:r>
    </w:p>
    <w:p>
      <w:pPr>
        <w:rPr>
          <w:rFonts w:hint="default" w:ascii="Times New Roman" w:hAnsi="Times New Roman" w:cs="Times New Roman"/>
        </w:rPr>
      </w:pPr>
    </w:p>
    <w:p>
      <w:pPr>
        <w:pStyle w:val="2"/>
        <w:rPr>
          <w:rFonts w:hint="default" w:ascii="Times New Roman" w:hAnsi="Times New Roman" w:cs="Times New Roman"/>
        </w:rPr>
      </w:pPr>
      <w:bookmarkStart w:id="1" w:name="_Ref124589705"/>
      <w:bookmarkStart w:id="2" w:name="_Ref129681862"/>
      <w:r>
        <w:rPr>
          <w:rFonts w:hint="default" w:ascii="Times New Roman" w:hAnsi="Times New Roman" w:cs="Times New Roman"/>
        </w:rPr>
        <w:t>Introduction</w:t>
      </w:r>
      <w:bookmarkEnd w:id="1"/>
      <w:bookmarkEnd w:id="2"/>
    </w:p>
    <w:p>
      <w:pPr>
        <w:pStyle w:val="8"/>
        <w:numPr>
          <w:ilvl w:val="0"/>
          <w:numId w:val="0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In RAN1#10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eastAsia" w:ascii="Times New Roman" w:hAnsi="Times New Roman" w:cs="Times New Roman"/>
          <w:lang w:val="en-US" w:eastAsia="zh-CN"/>
        </w:rPr>
        <w:t xml:space="preserve"> [1]</w:t>
      </w:r>
      <w:r>
        <w:rPr>
          <w:rFonts w:hint="default" w:ascii="Times New Roman" w:hAnsi="Times New Roman" w:cs="Times New Roman"/>
        </w:rPr>
        <w:t>, the following agreements were reached for the MCS tables</w:t>
      </w:r>
      <w:r>
        <w:rPr>
          <w:rFonts w:hint="default" w:ascii="Times New Roman" w:hAnsi="Times New Roman" w:cs="Times New Roman"/>
          <w:lang w:val="en-US" w:eastAsia="zh-CN"/>
        </w:rPr>
        <w:t>.</w:t>
      </w:r>
    </w:p>
    <w:p>
      <w:pPr>
        <w:pStyle w:val="8"/>
        <w:numPr>
          <w:ilvl w:val="0"/>
          <w:numId w:val="0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7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  <w:highlight w:val="green"/>
              </w:rPr>
              <w:t>Agreements</w:t>
            </w:r>
            <w:r>
              <w:rPr>
                <w:rFonts w:hint="default" w:ascii="Times New Roman" w:hAnsi="Times New Roman" w:cs="Times New Roman"/>
                <w:szCs w:val="20"/>
              </w:rPr>
              <w:t>:</w:t>
            </w:r>
          </w:p>
          <w:p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For a RedCap UE, 64QAM MCS tables (Table 5.1.3.1-1 in TS 38.214 for DL and UL OFDM and Table 6.1.4.1-1 in TS 38.214 for UL w/ transform precoding respectively) are the “default” ones and are mandatory.</w:t>
            </w:r>
          </w:p>
          <w:p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The following is optionally supported by RedCap UEs:</w:t>
            </w:r>
          </w:p>
          <w:p>
            <w:pPr>
              <w:pStyle w:val="8"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cs="Times New Roman"/>
                <w:color w:val="00000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0"/>
              </w:rPr>
              <w:t xml:space="preserve">256QAM MCS tables (Table 5.1.3.1-2 in TS 38.214 for DL and UL OFDM) </w:t>
            </w:r>
          </w:p>
          <w:p>
            <w:pPr>
              <w:pStyle w:val="8"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64QAM low SE MCS tables (Table 5.1.3.1-3 in TS 38.214 for DL and UL OFDM and Table 6.1.4.1-2 in TS 38.214 for UL w/ transform precoding respectively)</w:t>
            </w:r>
          </w:p>
          <w:p>
            <w:pPr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  <w:highlight w:val="green"/>
              </w:rPr>
              <w:t>Agreements</w:t>
            </w:r>
            <w:r>
              <w:rPr>
                <w:rFonts w:hint="default" w:ascii="Times New Roman" w:hAnsi="Times New Roman" w:cs="Times New Roman"/>
                <w:szCs w:val="20"/>
              </w:rPr>
              <w:t>:</w:t>
            </w:r>
          </w:p>
          <w:p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For a RedCap UE, “CQI table 1” (Table 5.2.2.1-2 in TS 38.214), that corresponds to MCS Table 5.1.3.1-1 in TS 38.214, is mandatory.</w:t>
            </w:r>
          </w:p>
          <w:p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The following is optionally supported by a RedCap UE:</w:t>
            </w:r>
          </w:p>
          <w:p>
            <w:pPr>
              <w:pStyle w:val="8"/>
              <w:numPr>
                <w:ilvl w:val="1"/>
                <w:numId w:val="4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cs="Times New Roman"/>
                <w:szCs w:val="20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 xml:space="preserve">“CQI table 2” (Table 5.2.2.1-3 in TS 38.214) that corresponds to MCS Table 5.1.3.1-2 in TS 38.214 (256QAM MCS table) </w:t>
            </w:r>
          </w:p>
          <w:p>
            <w:pPr>
              <w:pStyle w:val="8"/>
              <w:numPr>
                <w:ilvl w:val="1"/>
                <w:numId w:val="3"/>
              </w:numPr>
              <w:autoSpaceDE w:val="0"/>
              <w:autoSpaceDN w:val="0"/>
              <w:adjustRightInd w:val="0"/>
              <w:snapToGrid w:val="0"/>
              <w:spacing w:after="120"/>
              <w:ind w:leftChars="0"/>
              <w:contextualSpacing/>
              <w:jc w:val="both"/>
              <w:rPr>
                <w:rFonts w:hint="default" w:ascii="Times New Roman" w:hAnsi="Times New Roman" w:eastAsia="等线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Cs w:val="20"/>
              </w:rPr>
              <w:t>“CQI table 3” (Table 5.2.2.1-4 in TS 38.214) that corresponds to MCS Table 5.1.3.1-3 in TS 38.214 (64QAM low SE MCS table)</w:t>
            </w:r>
          </w:p>
        </w:tc>
      </w:tr>
    </w:tbl>
    <w:p>
      <w:pPr>
        <w:pStyle w:val="8"/>
        <w:numPr>
          <w:ilvl w:val="0"/>
          <w:numId w:val="0"/>
        </w:numPr>
        <w:autoSpaceDE w:val="0"/>
        <w:autoSpaceDN w:val="0"/>
        <w:adjustRightInd w:val="0"/>
        <w:snapToGrid w:val="0"/>
        <w:spacing w:after="120"/>
        <w:contextualSpacing/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Discussion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5" w:type="dxa"/>
          </w:tcPr>
          <w:p>
            <w:pPr>
              <w:pStyle w:val="9"/>
              <w:widowControl w:val="0"/>
            </w:pPr>
            <w:r>
              <w:drawing>
                <wp:inline distT="0" distB="0" distL="0" distR="0">
                  <wp:extent cx="2926080" cy="2118995"/>
                  <wp:effectExtent l="0" t="0" r="7620" b="146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1194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>
            <w:pPr>
              <w:pStyle w:val="9"/>
              <w:widowControl w:val="0"/>
            </w:pPr>
            <w:r>
              <w:drawing>
                <wp:inline distT="0" distB="0" distL="0" distR="0">
                  <wp:extent cx="2926080" cy="2118995"/>
                  <wp:effectExtent l="0" t="0" r="7620" b="146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1194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5" w:type="dxa"/>
          </w:tcPr>
          <w:p>
            <w:pPr>
              <w:pStyle w:val="4"/>
              <w:widowControl w:val="0"/>
            </w:pPr>
            <w:r>
              <w:t>(a) QPSK</w:t>
            </w:r>
          </w:p>
        </w:tc>
        <w:tc>
          <w:tcPr>
            <w:tcW w:w="222" w:type="dxa"/>
          </w:tcPr>
          <w:p>
            <w:pPr>
              <w:pStyle w:val="4"/>
              <w:widowControl w:val="0"/>
            </w:pPr>
            <w:r>
              <w:t>(b) 16QAM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5" w:type="dxa"/>
          </w:tcPr>
          <w:p>
            <w:pPr>
              <w:pStyle w:val="9"/>
              <w:widowControl w:val="0"/>
            </w:pPr>
            <w:r>
              <w:drawing>
                <wp:inline distT="0" distB="0" distL="0" distR="0">
                  <wp:extent cx="2926080" cy="2118995"/>
                  <wp:effectExtent l="0" t="0" r="7620" b="146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080" cy="21194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>
            <w:pPr>
              <w:pStyle w:val="9"/>
              <w:widowControl w:val="0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5" w:type="dxa"/>
          </w:tcPr>
          <w:p>
            <w:pPr>
              <w:pStyle w:val="4"/>
              <w:widowControl w:val="0"/>
            </w:pPr>
            <w:r>
              <w:t>(c) 64QAM</w:t>
            </w:r>
          </w:p>
        </w:tc>
        <w:tc>
          <w:tcPr>
            <w:tcW w:w="222" w:type="dxa"/>
          </w:tcPr>
          <w:p>
            <w:pPr>
              <w:pStyle w:val="9"/>
              <w:widowControl w:val="0"/>
            </w:pPr>
          </w:p>
        </w:tc>
      </w:tr>
    </w:tbl>
    <w:p>
      <w:pPr>
        <w:pStyle w:val="4"/>
      </w:pPr>
      <w:bookmarkStart w:id="3" w:name="_Ref67912729"/>
      <w:r>
        <w:t xml:space="preserve">Fig. </w:t>
      </w:r>
      <w:r>
        <w:fldChar w:fldCharType="begin"/>
      </w:r>
      <w:r>
        <w:instrText xml:space="preserve"> SEQ Fig. \* ARABIC </w:instrText>
      </w:r>
      <w:r>
        <w:fldChar w:fldCharType="separate"/>
      </w:r>
      <w:r>
        <w:t>1</w:t>
      </w:r>
      <w:r>
        <w:fldChar w:fldCharType="end"/>
      </w:r>
      <w:bookmarkEnd w:id="3"/>
      <w:r>
        <w:t>. Comparison of normal and lower SE MCS tables for (a) QPSK, (b) 16QAM, and (c) 64QAM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From the figures, it is clear that:</w:t>
      </w:r>
    </w:p>
    <w:p>
      <w:pPr>
        <w:pStyle w:val="8"/>
        <w:numPr>
          <w:ilvl w:val="0"/>
          <w:numId w:val="5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low SE table has more 6 more QPSK entries corresponding to 1/4, 1/3, 5/12, 8/15, 13/20, and 33/40 of code rate 0.12.</w:t>
      </w:r>
    </w:p>
    <w:p>
      <w:pPr>
        <w:pStyle w:val="8"/>
        <w:numPr>
          <w:ilvl w:val="0"/>
          <w:numId w:val="5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transition between modulations is a slightly different between each table.</w:t>
      </w:r>
    </w:p>
    <w:p>
      <w:pPr>
        <w:pStyle w:val="8"/>
        <w:numPr>
          <w:ilvl w:val="0"/>
          <w:numId w:val="5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highest code rate supported by each table is a bit different</w:t>
      </w:r>
    </w:p>
    <w:p>
      <w:pPr>
        <w:pStyle w:val="8"/>
        <w:numPr>
          <w:ilvl w:val="1"/>
          <w:numId w:val="5"/>
        </w:num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normal table provides one more code rate of 0.66 for QPSK; one more rate 0.64 for 16-QAM, and 4 more rates above 0.754 for 64-QAM.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 w:eastAsiaTheme="minorEastAsia"/>
          <w:lang w:val="en-US" w:eastAsia="zh-CN"/>
        </w:rPr>
        <w:t>T</w:t>
      </w:r>
      <w:r>
        <w:rPr>
          <w:rFonts w:hint="default" w:ascii="Times New Roman" w:hAnsi="Times New Roman" w:cs="Times New Roman" w:eastAsiaTheme="minorEastAsia"/>
          <w:lang w:val="en-US" w:eastAsia="zh-CN"/>
        </w:rPr>
        <w:t>he entries in the normal MCS table are designed to provide good granularity for the gNB to match the MCS used to the channel conditions that a non-RedCap UE experiences. However, for a RedCap UE, particularly a 1 Rx RedCap UE, the SNR region that needs to be supported is shifted lower. An MCS table that has more entries for the lower rate QPSK is, therefore, appropriate for a RedCap UE. Another benefit a low SE table can improve performance with its increased frequency diversity for low code rates.</w:t>
      </w:r>
      <w:r>
        <w:rPr>
          <w:rFonts w:hint="default" w:ascii="Times New Roman" w:hAnsi="Times New Roman" w:cs="Times New Roman" w:eastAsiaTheme="minorEastAsia"/>
          <w:lang w:val="en-US" w:eastAsia="zh-CN"/>
        </w:rPr>
        <w:t>Therefore, it</w:t>
      </w:r>
      <w:bookmarkStart w:id="4" w:name="_GoBack"/>
      <w:bookmarkEnd w:id="4"/>
      <w:r>
        <w:rPr>
          <w:rFonts w:hint="default" w:ascii="Times New Roman" w:hAnsi="Times New Roman" w:cs="Times New Roman" w:eastAsiaTheme="minorEastAsia"/>
          <w:lang w:val="en-US" w:eastAsia="zh-CN"/>
        </w:rPr>
        <w:t xml:space="preserve"> is recommended to selectively support the 64QAM MCS table that must be supported by MSC and exclude the high bit rate MCS index.</w:t>
      </w:r>
    </w:p>
    <w:p>
      <w:pPr>
        <w:rPr>
          <w:rFonts w:hint="default"/>
        </w:rPr>
      </w:pPr>
    </w:p>
    <w:p>
      <w:pPr>
        <w:widowControl/>
        <w:ind w:left="0" w:firstLine="0"/>
        <w:jc w:val="both"/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Proposal 1: 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The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 fewer Indexes of MCS table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 should 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support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for at least 1 Rx branch RedCap UEs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.</w:t>
      </w:r>
    </w:p>
    <w:p>
      <w:pPr>
        <w:widowControl/>
        <w:ind w:left="0" w:firstLine="0"/>
        <w:jc w:val="both"/>
        <w:rPr>
          <w:rFonts w:hint="default" w:ascii="Times New Roman" w:hAnsi="Times New Roman" w:eastAsia="Batang" w:cs="Times New Roman"/>
          <w:b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highlight w:val="none"/>
          <w:lang w:val="en-US" w:eastAsia="zh-CN"/>
        </w:rPr>
        <w:t>Proposal 2: redcap UEs supports fewer subcarrier spacing (SCS)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highlight w:val="none"/>
          <w:lang w:val="en-US" w:eastAsia="zh-CN"/>
        </w:rPr>
        <w:t xml:space="preserve"> for FR1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highlight w:val="none"/>
          <w:lang w:val="en-US" w:eastAsia="zh-CN"/>
        </w:rPr>
        <w:t>.</w:t>
      </w: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en-US" w:eastAsia="zh-CN"/>
        </w:rPr>
        <w:t>In the R16 stage of 3GPP, the physical layer mainly forms some technical schemes for ultra-low delay requirements, including more flexible frame structure, SCS, bandwidth, scheduling strategy and HARQ feedback. NR supports a variety of SCS. The frequency band below sub 6 GHz can support SCS configurations such as 15 kHz/30 kHz/60 kHz/120 kHz/240khz. Each subframe (fixed length 1 ms) contains 2μ Time slots. Because the SCS is a parameter reflecting the subcarrier bandwidth, it increases from 15 kHz fixed by LTE to 30 kHz and 60 kHz in the frequency domain, which means that the duration of a slot is reduced from 1ms to 62.5us corresponding to the SCS of 240 kHz. Since redcap UE has relatively loose processing time, less SCS can be considered</w:t>
      </w:r>
      <w:r>
        <w:rPr>
          <w:rFonts w:hint="eastAsia" w:ascii="Times New Roman" w:hAnsi="Times New Roman" w:cs="Times New Roman"/>
          <w:lang w:val="en-US" w:eastAsia="zh-CN"/>
        </w:rPr>
        <w:t xml:space="preserve"> for FR1</w:t>
      </w:r>
      <w:r>
        <w:rPr>
          <w:rFonts w:hint="default" w:ascii="Times New Roman" w:hAnsi="Times New Roman" w:cs="Times New Roman" w:eastAsiaTheme="minorEastAsia"/>
          <w:lang w:val="en-US" w:eastAsia="zh-CN"/>
        </w:rPr>
        <w:t>.</w:t>
      </w:r>
    </w:p>
    <w:p>
      <w:pPr>
        <w:pStyle w:val="2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Conclusion</w:t>
      </w:r>
    </w:p>
    <w:p>
      <w:pPr>
        <w:ind w:left="0" w:firstLine="0"/>
        <w:jc w:val="both"/>
        <w:rPr>
          <w:rFonts w:hint="default" w:ascii="Times New Roman" w:hAnsi="Times New Roman" w:eastAsia="宋体" w:cs="Times New Roman"/>
          <w:color w:val="000000"/>
          <w:sz w:val="21"/>
          <w:szCs w:val="22"/>
          <w:lang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2"/>
          <w:lang w:eastAsia="zh-CN"/>
        </w:rPr>
        <w:t xml:space="preserve">In this contribution, we discuss the remaining issues related to relaxed modulation order and relaxed </w:t>
      </w:r>
      <w:r>
        <w:rPr>
          <w:rFonts w:hint="default" w:ascii="Times New Roman" w:hAnsi="Times New Roman" w:eastAsia="宋体" w:cs="Times New Roman"/>
          <w:color w:val="000000"/>
          <w:sz w:val="21"/>
          <w:szCs w:val="22"/>
          <w:lang w:val="en-US" w:eastAsia="zh-CN"/>
        </w:rPr>
        <w:t>subcarrier spacing</w:t>
      </w:r>
      <w:r>
        <w:rPr>
          <w:rFonts w:hint="default" w:ascii="Times New Roman" w:hAnsi="Times New Roman" w:eastAsia="宋体" w:cs="Times New Roman"/>
          <w:color w:val="000000"/>
          <w:sz w:val="21"/>
          <w:szCs w:val="22"/>
          <w:lang w:eastAsia="zh-CN"/>
        </w:rPr>
        <w:t xml:space="preserve"> and our proosals are summarized as follows </w:t>
      </w:r>
    </w:p>
    <w:p>
      <w:pPr>
        <w:widowControl/>
        <w:ind w:left="0" w:firstLine="0"/>
        <w:jc w:val="both"/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Proposal 1: 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The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 fewer Indexes of MCS table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 should 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support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for at least 1 Rx branch RedCap UEs.</w:t>
      </w:r>
    </w:p>
    <w:p>
      <w:pPr>
        <w:widowControl/>
        <w:ind w:left="0" w:firstLine="0"/>
        <w:jc w:val="both"/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  <w:t>Proposal 2: redcap UEs supports fewer subcarrier sp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highlight w:val="none"/>
          <w:lang w:val="en-US" w:eastAsia="zh-CN"/>
        </w:rPr>
        <w:t>acing (SCS)</w:t>
      </w:r>
      <w:r>
        <w:rPr>
          <w:rFonts w:hint="eastAsia" w:ascii="Times New Roman" w:hAnsi="Times New Roman" w:eastAsia="Batang" w:cs="Times New Roman"/>
          <w:b/>
          <w:kern w:val="0"/>
          <w:sz w:val="21"/>
          <w:szCs w:val="21"/>
          <w:highlight w:val="none"/>
          <w:lang w:val="en-US" w:eastAsia="zh-CN"/>
        </w:rPr>
        <w:t xml:space="preserve"> for FR1</w:t>
      </w:r>
      <w:r>
        <w:rPr>
          <w:rFonts w:hint="default" w:ascii="Times New Roman" w:hAnsi="Times New Roman" w:eastAsia="Batang" w:cs="Times New Roman"/>
          <w:b/>
          <w:kern w:val="0"/>
          <w:sz w:val="21"/>
          <w:szCs w:val="21"/>
          <w:highlight w:val="none"/>
          <w:lang w:val="en-US" w:eastAsia="zh-CN"/>
        </w:rPr>
        <w:t>.</w:t>
      </w:r>
    </w:p>
    <w:p>
      <w:pPr>
        <w:pStyle w:val="2"/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lang w:val="en-US" w:eastAsia="zh-CN"/>
        </w:rPr>
        <w:t>Reference</w:t>
      </w:r>
    </w:p>
    <w:p>
      <w:pPr>
        <w:ind w:left="0" w:firstLine="0"/>
        <w:jc w:val="both"/>
        <w:rPr>
          <w:rFonts w:hint="eastAsia" w:ascii="Times New Roman" w:hAnsi="Times New Roman" w:eastAsia="宋体" w:cs="Times New Roman"/>
          <w:color w:val="000000"/>
          <w:sz w:val="21"/>
          <w:szCs w:val="22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2"/>
          <w:lang w:val="en-US" w:eastAsia="zh-CN"/>
        </w:rPr>
        <w:t xml:space="preserve">[1] </w:t>
      </w:r>
      <w:r>
        <w:rPr>
          <w:rFonts w:hint="eastAsia" w:ascii="Times New Roman" w:hAnsi="Times New Roman" w:eastAsia="宋体" w:cs="Times New Roman"/>
          <w:color w:val="000000"/>
          <w:sz w:val="21"/>
          <w:szCs w:val="22"/>
          <w:lang w:eastAsia="zh-CN"/>
        </w:rPr>
        <w:t>RAN1#10</w:t>
      </w:r>
      <w:r>
        <w:rPr>
          <w:rFonts w:hint="eastAsia" w:ascii="Times New Roman" w:hAnsi="Times New Roman" w:eastAsia="宋体" w:cs="Times New Roman"/>
          <w:color w:val="000000"/>
          <w:sz w:val="21"/>
          <w:szCs w:val="22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color w:val="000000"/>
          <w:sz w:val="21"/>
          <w:szCs w:val="22"/>
          <w:lang w:eastAsia="zh-CN"/>
        </w:rPr>
        <w:t>-e Chairman's Notes.</w:t>
      </w:r>
    </w:p>
    <w:p>
      <w:pPr>
        <w:widowControl/>
        <w:ind w:left="0" w:firstLine="0"/>
        <w:jc w:val="both"/>
        <w:rPr>
          <w:rFonts w:hint="default" w:ascii="Times New Roman" w:hAnsi="Times New Roman" w:eastAsia="Batang" w:cs="Times New Roman"/>
          <w:b/>
          <w:kern w:val="0"/>
          <w:sz w:val="21"/>
          <w:szCs w:val="21"/>
          <w:lang w:val="en-US" w:eastAsia="zh-CN"/>
        </w:rPr>
      </w:pPr>
    </w:p>
    <w:p>
      <w:pPr>
        <w:rPr>
          <w:rFonts w:hint="default" w:ascii="Times New Roman" w:hAnsi="Times New Roman" w:cs="Times New Roman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vanese Text">
    <w:panose1 w:val="02000000000000000000"/>
    <w:charset w:val="00"/>
    <w:family w:val="auto"/>
    <w:pitch w:val="default"/>
    <w:sig w:usb0="80000003" w:usb1="00002000" w:usb2="00000000" w:usb3="00000000" w:csb0="00000001" w:csb1="00000000"/>
  </w:font>
  <w:font w:name="Leelawadee UI">
    <w:panose1 w:val="020B0502040204020203"/>
    <w:charset w:val="00"/>
    <w:family w:val="auto"/>
    <w:pitch w:val="default"/>
    <w:sig w:usb0="83000003" w:usb1="00000000" w:usb2="00010000" w:usb3="00000001" w:csb0="000101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Palace Script MT">
    <w:panose1 w:val="030303020206070C0B05"/>
    <w:charset w:val="00"/>
    <w:family w:val="auto"/>
    <w:pitch w:val="default"/>
    <w:sig w:usb0="00000003" w:usb1="00000000" w:usb2="00000000" w:usb3="00000000" w:csb0="20000001" w:csb1="00000000"/>
  </w:font>
  <w:font w:name="Poor Richard">
    <w:panose1 w:val="02080502050505020702"/>
    <w:charset w:val="00"/>
    <w:family w:val="auto"/>
    <w:pitch w:val="default"/>
    <w:sig w:usb0="00000003" w:usb1="00000000" w:usb2="00000000" w:usb3="00000000" w:csb0="20000001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  <w:font w:name="Segoe UI Semilight"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C9037C"/>
    <w:multiLevelType w:val="multilevel"/>
    <w:tmpl w:val="11C9037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956D4B"/>
    <w:multiLevelType w:val="multilevel"/>
    <w:tmpl w:val="31956D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sz w:val="28"/>
        <w:szCs w:val="28"/>
        <w:lang w:val="en-US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43FF5F2B"/>
    <w:multiLevelType w:val="multilevel"/>
    <w:tmpl w:val="43FF5F2B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860"/>
        </w:tabs>
        <w:ind w:left="860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6F01392D"/>
    <w:multiLevelType w:val="multilevel"/>
    <w:tmpl w:val="6F01392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617DF"/>
    <w:rsid w:val="09BE0196"/>
    <w:rsid w:val="2725586D"/>
    <w:rsid w:val="36986347"/>
    <w:rsid w:val="386242DE"/>
    <w:rsid w:val="3AA834CD"/>
    <w:rsid w:val="418447F7"/>
    <w:rsid w:val="535B46E7"/>
    <w:rsid w:val="60D605B6"/>
    <w:rsid w:val="642E61DA"/>
    <w:rsid w:val="667030C3"/>
    <w:rsid w:val="6D942F05"/>
    <w:rsid w:val="6E496F22"/>
    <w:rsid w:val="72252FDC"/>
    <w:rsid w:val="786C124D"/>
    <w:rsid w:val="7A606616"/>
    <w:rsid w:val="7B0D7B98"/>
    <w:rsid w:val="7EB9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pBdr>
        <w:top w:val="single" w:color="auto" w:sz="12" w:space="1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3">
    <w:name w:val="heading 2"/>
    <w:basedOn w:val="1"/>
    <w:next w:val="1"/>
    <w:qFormat/>
    <w:uiPriority w:val="9"/>
    <w:pPr>
      <w:keepNext/>
      <w:widowControl w:val="0"/>
      <w:numPr>
        <w:ilvl w:val="1"/>
        <w:numId w:val="2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qFormat/>
    <w:uiPriority w:val="99"/>
    <w:pPr>
      <w:jc w:val="center"/>
    </w:pPr>
    <w:rPr>
      <w:b/>
      <w:bCs/>
      <w:sz w:val="20"/>
      <w:szCs w:val="20"/>
    </w:rPr>
  </w:style>
  <w:style w:type="table" w:styleId="6">
    <w:name w:val="Table Grid"/>
    <w:basedOn w:val="5"/>
    <w:qFormat/>
    <w:uiPriority w:val="3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840" w:leftChars="400"/>
    </w:pPr>
  </w:style>
  <w:style w:type="paragraph" w:customStyle="1" w:styleId="9">
    <w:name w:val="TableCell"/>
    <w:basedOn w:val="1"/>
    <w:qFormat/>
    <w:uiPriority w:val="0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2021-08-11T08:54:00Z</dcterms:created>
  <dc:creator>sunwp</dc:creator>
  <cp:lastModifiedBy>sunwp</cp:lastModifiedBy>
  <dcterms:modified xsi:type="dcterms:W3CDTF">2021-08-13T09:22:18Z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8D520791683E4CAE93C25C343D5E1F7F</vt:lpwstr>
  </property>
</Properties>
</file>